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bCs/>
          <w:i w:val="0"/>
          <w:iCs w:val="0"/>
          <w:caps w:val="0"/>
          <w:color w:val="333333"/>
          <w:spacing w:val="0"/>
          <w:sz w:val="33"/>
          <w:szCs w:val="33"/>
        </w:rPr>
      </w:pPr>
      <w:r>
        <w:rPr>
          <w:rFonts w:hint="eastAsia" w:ascii="微软雅黑" w:hAnsi="微软雅黑" w:eastAsia="微软雅黑" w:cs="微软雅黑"/>
          <w:b/>
          <w:bCs/>
          <w:i w:val="0"/>
          <w:iCs w:val="0"/>
          <w:caps w:val="0"/>
          <w:color w:val="333333"/>
          <w:spacing w:val="0"/>
          <w:sz w:val="33"/>
          <w:szCs w:val="33"/>
          <w:bdr w:val="none" w:color="auto" w:sz="0" w:space="0"/>
        </w:rPr>
        <w:t>关于深化增值税改革有关政策的公告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b w:val="0"/>
          <w:bCs w:val="0"/>
          <w:i w:val="0"/>
          <w:iCs w:val="0"/>
          <w:caps w:val="0"/>
          <w:color w:val="666666"/>
          <w:spacing w:val="0"/>
          <w:sz w:val="24"/>
          <w:szCs w:val="24"/>
        </w:rPr>
      </w:pPr>
      <w:r>
        <w:rPr>
          <w:rFonts w:hint="eastAsia" w:ascii="微软雅黑" w:hAnsi="微软雅黑" w:eastAsia="微软雅黑" w:cs="微软雅黑"/>
          <w:b w:val="0"/>
          <w:bCs w:val="0"/>
          <w:i w:val="0"/>
          <w:iCs w:val="0"/>
          <w:caps w:val="0"/>
          <w:color w:val="666666"/>
          <w:spacing w:val="0"/>
          <w:sz w:val="24"/>
          <w:szCs w:val="24"/>
          <w:bdr w:val="none" w:color="auto" w:sz="0" w:space="0"/>
        </w:rPr>
        <w:t>财政部 税务总局 海关总署公告2019年第39号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为贯彻落实党中央、国务院决策部署，推进增值税实质性减税，现将2019年增值税改革有关事项公告如下：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一、增值税一般纳税人（以下称纳税人）发生增值税应税销售行为或者进口货物，原适用16%税率的，税率调整为13%；原适用10%税率的，税率调整为9%。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二、纳税人购进农产品，原适用10%扣除率的，扣除率调整为9%。纳税人购进用于生产或者委托加工13%税率货物的农产品，按照10%的扣除率计算进项税额。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三、原适用16%税率且出口退税率为16%的出口货物劳务，出口退税率调整为13%;原适用10%税率且出口退税率为10%的出口货物、跨境应税行为，出口退税率调整为9%。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2019年6月30日前（含2019年4月1日前）,纳税人出口前款所涉货物劳务、发生前款所涉跨境应税行为，适用增值税免退税办法的,购进时已按调整前税率征收增值税的，执行调整前的出口退税率,购进时已按调整后税率征收增值税的，执行调整后的出口退税率；适用增值税免抵退税办法的,执行调整前的出口退税率,在计算免抵退税时，适用税率低于出口退税率的，适用税率与出口退税率之差视为零参与免抵退税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出口退税率的执行时间及出口货物劳务、发生跨境应税行为的时间，按照以下规定执行：报关出口的货物劳务（保税区及经保税区出口除外），以海关出口报关单上注明的出口日期为准;非报关出口的货物劳务、跨境应税行为，以出口发票或普通发票的开具时间为准;保税区及经保税区出口的货物，以货物离境时海关出具的出境货物备案清单上注明的出口日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四、适用13%税率的境外旅客购物离境退税物品，退税率为11%；适用9%税率的境外旅客购物离境退税物品，退税率为8%。</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2019年6月30日前，按调整前税率征收增值税的，执行调整前的退税率；按调整后税率征收增值税的，执行调整后的退税率。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退税率的执行时间，以退税物品增值税普通发票的开具日期为准。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自2019年4月1日起，《营业税改征增值税试点有关事项的规定》（财税〔2016〕36号印发）第一条第（四）项第1点、第二条第（一）项第1点停止执行，纳税人取得不动产或者不动产在建工程的进项税额不再分2年抵扣。此前按照上述规定尚未抵扣完毕的待抵扣进项税额，可自2019年4月税款所属期起从销项税额中抵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六、纳税人购进国内旅客运输服务，其进项税额允许从销项税额中抵扣。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（一）纳税人未取得增值税专用发票的，暂按照以下规定确定进项税额：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1.取得增值税电子普通发票的，为发票上注明的税额；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2.取得注明旅客身份信息的航空运输电子客票行程单的，为按照下列公式计算进项税额：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航空旅客运输进项税额=（票价+燃油附加费）÷（1+9%）×9%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3.取得注明旅客身份信息的铁路车票的，为按照下列公式计算的进项税额：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铁路旅客运输进项税额=票面金额÷（1+9%）×9%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4.取得注明旅客身份信息的公路、水路等其他客票的，按照下列公式计算进项税额：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公路、水路等其他旅客运输进项税额=票面金额÷（1+3%）×3%</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营业税改征增值税试点实施办法》（财税〔2016〕36号印发）第二十七条第（六）项和《营业税改征增值税试点有关事项的规定》（财税〔2016〕36号印发）第二条第（一）项第5点中“购进的旅客运输服务、贷款服务、餐饮服务、居民日常服务和娱乐服务”修改为“购进的贷款服务、餐饮服务、居民日常服务和娱乐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七、自2019年4月1日至2021年12月31日，允许生产、生活性服务业纳税人按照当期可抵扣进项税额加计10%，抵减应纳税额（以下称加计抵减政策）。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本公告所称生产、生活性服务业纳税人，是指提供邮政服务、电信服务、现代服务、生活服务（以下称四项服务）取得的销售额占全部销售额的比重超过50%的纳税人。四项服务的具体范围按照《销售服务、无形资产、不动产注释》（财税〔2016〕36号印发）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2019年3月31日前设立的纳税人，自2018年4月至2019年3月期间的销售额(经营期不满12个月的，按照实际经营期的销售额)符合上述规定条件的，自2019年4月1日起适用加计抵减政策。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2019年4月1日后设立的纳税人，自设立之日起3个月的销售额符合上述规定条件的，自登记为一般纳税人之日起适用加计抵减政策。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纳税人确定适用加计抵减政策后，当年内不再调整，以后年度是否适用，根据上年度销售额计算确定。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纳税人可计提但未计提的加计抵减额，可在确定适用加计抵减政策当期一并计提。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纳税人应按照当期可抵扣进项税额的10%计提当期加计抵减额。按照现行规定不得从销项税额中抵扣的进项税额，不得计提加计抵减额；已计提加计抵减额的进项税额，按规定作进项税额转出的，应在进项税额转出当期，相应调减加计抵减额。计算公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当期计提加计抵减额=当期可抵扣进项税额×10%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当期可抵减加计抵减额=上期末加计抵减额余额+当期计提加计抵减额-当期调减加计抵减额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（三）纳税人应按照现行规定计算一般计税方法下的应纳税额（以下称抵减前的应纳税额）后，区分以下情形加计抵减：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1.抵减前的应纳税额等于零的，当期可抵减加计抵减额全部结转下期抵减；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2.抵减前的应纳税额大于零，且大于当期可抵减加计抵减额的，当期可抵减加计抵减额全额从抵减前的应纳税额中抵减；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3.抵减前的应纳税额大于零，且小于或等于当期可抵减加计抵减额的，以当期可抵减加计抵减额抵减应纳税额至零。未抵减完的当期可抵减加计抵减额，结转下期继续抵减。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（四）纳税人出口货物劳务、发生跨境应税行为不适用加计抵减政策，其对应的进项税额不得计提加计抵减额。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纳税人兼营出口货物劳务、发生跨境应税行为且无法划分不得计提加计抵减额的进项税额,按照以下公式计算：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不得计提加计抵减额的进项税额＝当期无法划分的全部进项税额×当期出口货物劳务和发生跨境应税行为的销售额÷当期全部销售额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（五）纳税人应单独核算加计抵减额的计提、抵减、调减、结余等变动情况。骗取适用加计抵减政策或虚增加计抵减额的，按照《中华人民共和国税收征收管理法》等有关规定处理。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（六）加计抵减政策执行到期后，纳税人不再计提加计抵减额，结余的加计抵减额停止抵减。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八、自2019年4月1日起，试行增值税期末留抵税额退税制度。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（一）同时符合以下条件的纳税人，可以向主管税务机关申请退还增量留抵税额：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1.自2019年4月税款所属期起，连续六个月（按季纳税的，连续两个季度）增量留抵税额均大于零，且第六个月增量留抵税额不低于50万元；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2.纳税信用等级为A级或者B级；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3.申请退税前36个月未发生骗取留抵退税、出口退税或虚开增值税专用发票情形的；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4.申请退税前36个月未因偷税被税务机关处罚两次及以上的；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5.自2019年4月1日起未享受即征即退、先征后返（退）政策的。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（二）本公告所称增量留抵税额，是指与2019年3月底相比新增加的期末留抵税额。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（三）纳税人当期允许退还的增量留抵税额，按照以下公式计算：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允许退还的增量留抵税额=增量留抵税额×进项构成比例×60%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进项构成比例，为2019年4月至申请退税前一税款所属期内已抵扣的增值税专用发票（含税控机动车销售统一发票）、海关进口增值税专用缴款书、解缴税款完税凭证注明的增值税额占同期全部已抵扣进项税额的比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（四）纳税人应在增值税纳税申报期内，向主管税务机关申请退还留抵税额。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（五）纳税人出口货物劳务、发生跨境应税行为，适用免抵退税办法的，办理免抵退税后，仍符合本公告规定条件的，可以申请退还留抵税额；适用免退税办法的，相关进项税额不得用于退还留抵税额。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（六）纳税人取得退还的留抵税额后，应相应调减当期留抵税额。按照本条规定再次满足退税条件的，可以继续向主管税务机关申请退还留抵税额，但本条第（一）项第1点规定的连续期间，不得重复计算。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（七）以虚增进项、虚假申报或其他欺骗手段，骗取留抵退税款的，由税务机关追缴其骗取的退税款，并按照《中华人民共和国税收征收管理法》等有关规定处理。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（八）退还的增量留抵税额中央、地方分担机制另行通知。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九、本公告自2019年4月1日起执行。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特此公告。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财政部　税务总局　海关总署</w:t>
      </w:r>
      <w:bookmarkStart w:id="0" w:name="_GoBack"/>
      <w:bookmarkEnd w:id="0"/>
      <w:r>
        <w:rPr>
          <w:rFonts w:hint="eastAsia" w:ascii="微软雅黑" w:hAnsi="微软雅黑" w:eastAsia="微软雅黑" w:cs="微软雅黑"/>
          <w:i w:val="0"/>
          <w:iCs w:val="0"/>
          <w:caps w:val="0"/>
          <w:color w:val="333333"/>
          <w:spacing w:val="0"/>
          <w:sz w:val="27"/>
          <w:szCs w:val="27"/>
          <w:bdr w:val="none" w:color="auto" w:sz="0" w:space="0"/>
          <w:shd w:val="clear" w:fill="FFFFFF"/>
        </w:rPr>
        <w:t>　　　　　　　　　　　　　　　　　　　　　　　　　　　　　　　2019年3月20日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84C47"/>
    <w:rsid w:val="17A84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2024-02-27T06:46:00Z</dcterms:created>
  <dc:creator>zhangsy-cz</dc:creator>
  <cp:lastModifiedBy>zhangsy-cz</cp:lastModifiedBy>
  <dcterms:modified xsi:type="dcterms:W3CDTF">2024-02-27T06:47:31Z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D251F9E5BF9748F78FFA59B037A4A8C6</vt:lpwstr>
  </property>
</Properties>
</file>